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资源与环境工程</w:t>
      </w:r>
      <w:r>
        <w:rPr>
          <w:rFonts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2021级矿业类普通本科专业分流工作实施方案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根据《武汉科技大学普通本科生专业选择与转专业管理办法》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〔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〕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号）和《武汉科技大学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1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-202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学期普通本科生专业分流工作通知》的文件要求，为进一步规范并做好2022年本科生按大类招生专业分流工作，结合我院实际，特制定资源与环境工程学院矿业类普通本科专业分流工作实施方案。</w:t>
      </w:r>
    </w:p>
    <w:p>
      <w:pPr>
        <w:spacing w:line="360" w:lineRule="auto"/>
        <w:rPr>
          <w:rFonts w:hint="eastAsia" w:ascii="黑体" w:hAnsi="宋体" w:eastAsia="黑体" w:cs="黑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一、专业分流工作小组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学院成立专业分流工作小组，全面负责矿业类专业分流工作。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组长： 叶义成  李晓敏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成员： 李胤  冯涛  刘涛  陈勇  柯丽华  张光权  钱功明  张明  范逸萍  洪运志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二、专业分流原则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（一）适应社会需求。面向国家战略和区域经济社会发展需求，对接行业产业转型升级，培养适应经济社会发展所需要的人才。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（二）适应学科专业发展需要。根据学科专业布局需求，合理制定分流计划，促进学科专业优化，推动学校可持续发展。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（三）适应教学资源现状。综合考虑师资队伍、实验条件和实习基地等教学资源情况，充分对接国家专业质量标准和专业认证标准，合理调整专业规模。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（四）尊重学生个性化发展。根据专业分流计划，充分考虑学生个人志愿，结合学生学习成绩和综合表现，实施专业分流。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三、专业分流对象与范围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分流对象为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2021级矿业类招生培养的本科生（含转专业后进入矿业类培养的本科生）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，共140人。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已经明确修读专业的本科生不参与专业分流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（矿物加工工程7人）；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从原专业复学、留级到</w:t>
      </w:r>
      <w:r>
        <w:rPr>
          <w:rFonts w:hint="default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</w:t>
      </w:r>
      <w:r>
        <w:rPr>
          <w:rFonts w:hint="eastAsia" w:ascii="Times New Roman" w:hAnsi="Times New Roman" w:eastAsia="微软雅黑" w:cs="Times New Roman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1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级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矿业类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的学生保持原专业不变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，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不参与专业分流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（采矿工程1人，矿物加工工程2人）。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专业分流范围仅限于本专业类招生中标注的办学专业，学生专业分流时，不得选择跨本专业类招生的办学专业。矿业类专业学生仅限于在采矿工程、矿物加工工程、地理信息科学三个专业内选择。</w:t>
      </w:r>
    </w:p>
    <w:p>
      <w:pPr>
        <w:spacing w:line="360" w:lineRule="auto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四、专业分流计划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专业分流计划依据国家战略和区域经济社会发展需求，对接国家专业质量标准和专业认证标准，充分考虑师资队伍、实验条件和实习基地等教学资源情况与学生意愿综合确定。2021级矿业类各专业分流计划如下表所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（根据学生志愿和考核情况，各专业实际分流人数可上下浮动10%）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tbl>
      <w:tblPr>
        <w:tblStyle w:val="3"/>
        <w:tblW w:w="83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  <w:gridCol w:w="2720"/>
        <w:gridCol w:w="29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Hlk405469592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大类名称</w:t>
            </w:r>
            <w:bookmarkEnd w:id="0"/>
          </w:p>
        </w:tc>
        <w:tc>
          <w:tcPr>
            <w:tcW w:w="2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专业名称</w:t>
            </w:r>
          </w:p>
        </w:tc>
        <w:tc>
          <w:tcPr>
            <w:tcW w:w="2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计划人数（人）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矿业类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采矿工程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矿物加工工程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35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地理信息科学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50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合计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140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五、专业分流程序与考核办法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（一）填报志愿。学生根据大类专业分流计划，结合自己的兴趣和学习情况等填报第一、第二分流专业志愿。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（二）当专业申报第一志愿学生人数小于等于该专业计划分流人数时，第一志愿申报的学生全部录取到该专业</w:t>
      </w:r>
      <w:bookmarkStart w:id="1" w:name="_GoBack"/>
      <w:bookmarkEnd w:id="1"/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（三）当专业申报第一志愿学生人数大于该专业计划分流人数时，学院组织综合考核，第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一志愿申报的学生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按照考核总成绩由高到低排序录取；第一志愿专业录满后，则根据学生志愿和总成绩排序依次录取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到第二专业志愿和矿业类其他专业。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总成绩 = 平均学分绩点×50% + 笔试成绩×50%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其中，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平均学分绩点：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从教务系统导出的学生在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2021-2022-1学期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所学全部课程的平均学分绩点；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笔试成绩：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通过闭卷考试考核，百分制，分数对应的绩点为笔试成绩；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六、工作进度安排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2022年3月28日-3月31日，专业分流动员与宣传；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（二）2022年4月1日-4月2日，学生本人向学院提出申请，4月2日下午5点前交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洪运志老师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（三）2022年4月3日-4月10日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，学院根据学生填报志愿情况，按照专业分流程序规则完成专业分流考核工作，并确定各专业分流学生名单；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（四）2022年4月11日，学院在学院网站公示专业分流结果；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（五）2022年4月15日，学院将分流结果报教务处。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（一）学生充分分析自身条件和兴趣，了解专业特色、社会需求和就业前景，理性选择分流专业。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（二）所有参与专业分流的学生，必须严格按照学院分流方案，在规定的时间内申请，逾期申请或者不申请者，视为放弃选择权，由学院统一调配。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（三）平均学分绩点以从教务系统中导出的为准。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（四）学生在校期间有且仅有一次专业分流机会，学生专业分流结果一经核定，学生应当按核定后的专业修读，专业分流后不再变更专业。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公示方式及申诉受理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通过学院网站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对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专业分流结果进行公示，公示期内如有异议，可通过办公电话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27-68862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877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进行申诉。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（六）其他未尽事宜由资源与环境工程学院负责解释。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资源与环境工程学院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2022年3月28日</w:t>
      </w:r>
    </w:p>
    <w:p>
      <w:pP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3A3D11"/>
    <w:rsid w:val="04BF4664"/>
    <w:rsid w:val="1C347C08"/>
    <w:rsid w:val="33B65F28"/>
    <w:rsid w:val="38595C14"/>
    <w:rsid w:val="3C3F1E1E"/>
    <w:rsid w:val="4BF900BF"/>
    <w:rsid w:val="4EEE4A0A"/>
    <w:rsid w:val="511F2F7B"/>
    <w:rsid w:val="564E1B99"/>
    <w:rsid w:val="5ACB75AE"/>
    <w:rsid w:val="5C295EE9"/>
    <w:rsid w:val="62F53AC8"/>
    <w:rsid w:val="653F074C"/>
    <w:rsid w:val="65D32563"/>
    <w:rsid w:val="72555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1631</Words>
  <Characters>1721</Characters>
  <Lines>0</Lines>
  <Paragraphs>0</Paragraphs>
  <TotalTime>216</TotalTime>
  <ScaleCrop>false</ScaleCrop>
  <LinksUpToDate>false</LinksUpToDate>
  <CharactersWithSpaces>1749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</dc:creator>
  <cp:lastModifiedBy>Feng</cp:lastModifiedBy>
  <cp:lastPrinted>2022-03-29T09:39:00Z</cp:lastPrinted>
  <dcterms:modified xsi:type="dcterms:W3CDTF">2022-03-30T06:49:46Z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1BAFD1EF224D42D8B435A5C0E0094591</vt:lpwstr>
  </property>
</Properties>
</file>